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64C3" w14:textId="77777777" w:rsidR="00A749D7" w:rsidRPr="00F96378" w:rsidRDefault="00A749D7" w:rsidP="00A749D7">
      <w:pPr>
        <w:jc w:val="center"/>
        <w:rPr>
          <w:rFonts w:ascii="Calibri" w:hAnsi="Calibri" w:cs="Arial"/>
          <w:b/>
          <w:lang w:val="es-MX"/>
        </w:rPr>
      </w:pPr>
      <w:r w:rsidRPr="00F96378">
        <w:rPr>
          <w:rFonts w:ascii="Calibri" w:hAnsi="Calibri" w:cs="Arial"/>
          <w:b/>
          <w:lang w:val="es-MX"/>
        </w:rPr>
        <w:t>VALORES SIMESA S.A</w:t>
      </w:r>
    </w:p>
    <w:p w14:paraId="26157ECF" w14:textId="7C6CA6A0" w:rsidR="00A749D7" w:rsidRPr="004A60B3" w:rsidRDefault="00935514" w:rsidP="00A749D7">
      <w:pPr>
        <w:jc w:val="center"/>
        <w:rPr>
          <w:rFonts w:ascii="Calibri" w:hAnsi="Calibri" w:cs="Arial"/>
          <w:b/>
          <w:lang w:val="es-MX"/>
        </w:rPr>
      </w:pPr>
      <w:r w:rsidRPr="004A60B3">
        <w:rPr>
          <w:rFonts w:ascii="Calibri" w:hAnsi="Calibri" w:cs="Arial"/>
          <w:b/>
          <w:lang w:val="es-MX"/>
        </w:rPr>
        <w:t>MAYO</w:t>
      </w:r>
      <w:r w:rsidR="0077202E" w:rsidRPr="004A60B3">
        <w:rPr>
          <w:rFonts w:ascii="Calibri" w:hAnsi="Calibri" w:cs="Arial"/>
          <w:b/>
          <w:lang w:val="es-MX"/>
        </w:rPr>
        <w:t xml:space="preserve"> </w:t>
      </w:r>
      <w:r w:rsidR="004A60B3" w:rsidRPr="004A60B3">
        <w:rPr>
          <w:rFonts w:ascii="Calibri" w:hAnsi="Calibri" w:cs="Arial"/>
          <w:b/>
          <w:lang w:val="es-MX"/>
        </w:rPr>
        <w:t>25</w:t>
      </w:r>
      <w:r w:rsidR="00700F83" w:rsidRPr="004A60B3">
        <w:rPr>
          <w:rFonts w:ascii="Calibri" w:hAnsi="Calibri" w:cs="Arial"/>
          <w:b/>
          <w:lang w:val="es-MX"/>
        </w:rPr>
        <w:t xml:space="preserve"> DE 202</w:t>
      </w:r>
      <w:r w:rsidR="00017BF7" w:rsidRPr="004A60B3">
        <w:rPr>
          <w:rFonts w:ascii="Calibri" w:hAnsi="Calibri" w:cs="Arial"/>
          <w:b/>
          <w:lang w:val="es-MX"/>
        </w:rPr>
        <w:t>6</w:t>
      </w:r>
    </w:p>
    <w:p w14:paraId="21AE8951" w14:textId="77777777" w:rsidR="00A749D7" w:rsidRPr="00F96378" w:rsidRDefault="00A749D7" w:rsidP="00A749D7">
      <w:pPr>
        <w:jc w:val="center"/>
        <w:rPr>
          <w:rFonts w:ascii="Calibri" w:hAnsi="Calibri" w:cs="Arial"/>
          <w:b/>
          <w:lang w:val="es-MX"/>
        </w:rPr>
      </w:pPr>
      <w:r w:rsidRPr="00F96378">
        <w:rPr>
          <w:rFonts w:ascii="Calibri" w:hAnsi="Calibri" w:cs="Arial"/>
          <w:b/>
          <w:lang w:val="es-MX"/>
        </w:rPr>
        <w:t>INFORMACIÓN RELEVANTE</w:t>
      </w:r>
    </w:p>
    <w:p w14:paraId="3FD6B228" w14:textId="77777777" w:rsidR="00A749D7" w:rsidRDefault="00A749D7" w:rsidP="00087B72">
      <w:pPr>
        <w:jc w:val="center"/>
        <w:rPr>
          <w:rFonts w:ascii="Calibri" w:hAnsi="Calibri" w:cs="Arial"/>
          <w:b/>
          <w:sz w:val="22"/>
          <w:szCs w:val="22"/>
        </w:rPr>
      </w:pPr>
    </w:p>
    <w:p w14:paraId="2A7D782F" w14:textId="77777777" w:rsidR="00A749D7" w:rsidRDefault="00A749D7" w:rsidP="00087B72">
      <w:pPr>
        <w:jc w:val="center"/>
        <w:rPr>
          <w:rFonts w:ascii="Calibri" w:hAnsi="Calibri" w:cs="Arial"/>
          <w:b/>
          <w:sz w:val="22"/>
          <w:szCs w:val="22"/>
        </w:rPr>
      </w:pPr>
    </w:p>
    <w:p w14:paraId="2A7859C6" w14:textId="209EE55A" w:rsidR="009E6F3C" w:rsidRPr="00087B72" w:rsidRDefault="009E6F3C" w:rsidP="00087B72">
      <w:pPr>
        <w:jc w:val="center"/>
        <w:rPr>
          <w:rFonts w:ascii="Calibri" w:hAnsi="Calibri" w:cs="Arial"/>
          <w:b/>
          <w:sz w:val="22"/>
          <w:szCs w:val="22"/>
        </w:rPr>
      </w:pPr>
      <w:bookmarkStart w:id="0" w:name="_Hlk158024098"/>
      <w:r w:rsidRPr="00087B72">
        <w:rPr>
          <w:rFonts w:ascii="Calibri" w:hAnsi="Calibri" w:cs="Arial"/>
          <w:b/>
          <w:sz w:val="22"/>
          <w:szCs w:val="22"/>
        </w:rPr>
        <w:t>P</w:t>
      </w:r>
      <w:r w:rsidR="00B743D8">
        <w:rPr>
          <w:rFonts w:ascii="Calibri" w:hAnsi="Calibri" w:cs="Arial"/>
          <w:b/>
          <w:sz w:val="22"/>
          <w:szCs w:val="22"/>
        </w:rPr>
        <w:t>ROPUESTA DE CAMBIO DE DESTINACIÓ</w:t>
      </w:r>
      <w:r w:rsidRPr="00087B72">
        <w:rPr>
          <w:rFonts w:ascii="Calibri" w:hAnsi="Calibri" w:cs="Arial"/>
          <w:b/>
          <w:sz w:val="22"/>
          <w:szCs w:val="22"/>
        </w:rPr>
        <w:t>N</w:t>
      </w:r>
      <w:r w:rsidR="009006F8">
        <w:rPr>
          <w:rFonts w:ascii="Calibri" w:hAnsi="Calibri" w:cs="Arial"/>
          <w:b/>
          <w:sz w:val="22"/>
          <w:szCs w:val="22"/>
        </w:rPr>
        <w:t xml:space="preserve"> PARCIAL DE LOS RESULTADOS ACUMULADOS POR PROCESO DE CONVERGENCIA A LAS NIIF Y</w:t>
      </w:r>
      <w:r w:rsidRPr="00087B72">
        <w:rPr>
          <w:rFonts w:ascii="Calibri" w:hAnsi="Calibri" w:cs="Arial"/>
          <w:b/>
          <w:sz w:val="22"/>
          <w:szCs w:val="22"/>
        </w:rPr>
        <w:t xml:space="preserve"> DE LA RESERVA </w:t>
      </w:r>
      <w:r w:rsidR="00814BA2">
        <w:rPr>
          <w:rFonts w:ascii="Calibri" w:hAnsi="Calibri" w:cs="Arial"/>
          <w:b/>
          <w:sz w:val="22"/>
          <w:szCs w:val="22"/>
        </w:rPr>
        <w:t>A DISPOSICIÓN DEL MÁXIMO ÓRG</w:t>
      </w:r>
      <w:r w:rsidR="009006F8">
        <w:rPr>
          <w:rFonts w:ascii="Calibri" w:hAnsi="Calibri" w:cs="Arial"/>
          <w:b/>
          <w:sz w:val="22"/>
          <w:szCs w:val="22"/>
        </w:rPr>
        <w:t>AN</w:t>
      </w:r>
      <w:r w:rsidR="00814BA2">
        <w:rPr>
          <w:rFonts w:ascii="Calibri" w:hAnsi="Calibri" w:cs="Arial"/>
          <w:b/>
          <w:sz w:val="22"/>
          <w:szCs w:val="22"/>
        </w:rPr>
        <w:t xml:space="preserve">O SOCIAL </w:t>
      </w:r>
      <w:r w:rsidRPr="00087B72">
        <w:rPr>
          <w:rFonts w:ascii="Calibri" w:hAnsi="Calibri" w:cs="Arial"/>
          <w:b/>
          <w:sz w:val="22"/>
          <w:szCs w:val="22"/>
        </w:rPr>
        <w:t xml:space="preserve">Y </w:t>
      </w:r>
      <w:r w:rsidR="00B743D8">
        <w:rPr>
          <w:rFonts w:ascii="Calibri" w:hAnsi="Calibri" w:cs="Arial"/>
          <w:b/>
          <w:sz w:val="22"/>
          <w:szCs w:val="22"/>
        </w:rPr>
        <w:t xml:space="preserve">PROYECTO DE </w:t>
      </w:r>
      <w:r w:rsidRPr="00087B72">
        <w:rPr>
          <w:rFonts w:ascii="Calibri" w:hAnsi="Calibri" w:cs="Arial"/>
          <w:b/>
          <w:sz w:val="22"/>
          <w:szCs w:val="22"/>
        </w:rPr>
        <w:t>READQUISICI</w:t>
      </w:r>
      <w:r w:rsidR="00B743D8">
        <w:rPr>
          <w:rFonts w:ascii="Calibri" w:hAnsi="Calibri" w:cs="Arial"/>
          <w:b/>
          <w:sz w:val="22"/>
          <w:szCs w:val="22"/>
        </w:rPr>
        <w:t>Ó</w:t>
      </w:r>
      <w:r w:rsidRPr="00087B72">
        <w:rPr>
          <w:rFonts w:ascii="Calibri" w:hAnsi="Calibri" w:cs="Arial"/>
          <w:b/>
          <w:sz w:val="22"/>
          <w:szCs w:val="22"/>
        </w:rPr>
        <w:t>N DE ACCIONES</w:t>
      </w:r>
    </w:p>
    <w:bookmarkEnd w:id="0"/>
    <w:p w14:paraId="3741EFBF" w14:textId="77777777" w:rsidR="00167306" w:rsidRDefault="00167306" w:rsidP="007363A6">
      <w:pPr>
        <w:pStyle w:val="Textoindependiente2"/>
        <w:tabs>
          <w:tab w:val="left" w:pos="374"/>
          <w:tab w:val="left" w:pos="499"/>
        </w:tabs>
        <w:spacing w:after="0" w:line="240" w:lineRule="auto"/>
        <w:jc w:val="both"/>
        <w:rPr>
          <w:rFonts w:asciiTheme="minorHAnsi" w:hAnsiTheme="minorHAnsi" w:cstheme="minorHAnsi"/>
          <w:sz w:val="22"/>
          <w:szCs w:val="22"/>
          <w:lang w:val="es-MX"/>
        </w:rPr>
      </w:pPr>
    </w:p>
    <w:p w14:paraId="07618C35" w14:textId="4800254D" w:rsidR="00BA7DEF" w:rsidRPr="00040EED" w:rsidRDefault="00BA7DEF" w:rsidP="00BA7DEF">
      <w:pPr>
        <w:pStyle w:val="Textosinformato"/>
        <w:jc w:val="both"/>
      </w:pPr>
      <w:r w:rsidRPr="003C5ABE">
        <w:rPr>
          <w:rFonts w:asciiTheme="minorHAnsi" w:hAnsiTheme="minorHAnsi" w:cstheme="minorHAnsi"/>
          <w:szCs w:val="22"/>
          <w:lang w:val="es-MX"/>
        </w:rPr>
        <w:t xml:space="preserve">Teniendo en cuenta que </w:t>
      </w:r>
      <w:r w:rsidR="002D1843" w:rsidRPr="003C5ABE">
        <w:t>en lo corrido de este año 2026</w:t>
      </w:r>
      <w:r w:rsidRPr="003C5ABE">
        <w:t>, se h</w:t>
      </w:r>
      <w:r w:rsidR="002D1843" w:rsidRPr="003C5ABE">
        <w:t>an hecho</w:t>
      </w:r>
      <w:r w:rsidRPr="003C5ABE">
        <w:t xml:space="preserve"> efectivas la cesiones de derechos fiduciarios del lote B</w:t>
      </w:r>
      <w:r w:rsidR="002D1843" w:rsidRPr="003C5ABE">
        <w:t>1, B5 y</w:t>
      </w:r>
      <w:r w:rsidRPr="003C5ABE">
        <w:t xml:space="preserve"> </w:t>
      </w:r>
      <w:r w:rsidR="002D1843" w:rsidRPr="003C5ABE">
        <w:t>restante</w:t>
      </w:r>
      <w:r w:rsidRPr="003C5ABE">
        <w:t xml:space="preserve"> del lote B6 a los compradores de dichos inmuebles, hecho que hace líquidos parte de los resultados acumulados por proceso de convergencia a las NIIF y de la reserva a disposición del máximo órgano social, l</w:t>
      </w:r>
      <w:r w:rsidRPr="003C5ABE">
        <w:rPr>
          <w:rFonts w:cs="Arial"/>
          <w:szCs w:val="22"/>
          <w:lang w:val="es-MX"/>
        </w:rPr>
        <w:t>a Administración se permite recomendar a la Asamblea General de Accionistas, trasladar del monto que se ha realizado de manera efectiva con terceros, dentro de la cuenta de resultados acumulados por proceso de convergencia a las NIIF, la suma de $</w:t>
      </w:r>
      <w:r w:rsidR="00B635C7" w:rsidRPr="003C5ABE">
        <w:rPr>
          <w:rFonts w:cs="Arial"/>
          <w:szCs w:val="22"/>
          <w:lang w:val="es-MX"/>
        </w:rPr>
        <w:t xml:space="preserve"> </w:t>
      </w:r>
      <w:r w:rsidR="006504D9" w:rsidRPr="003C5ABE">
        <w:t>1</w:t>
      </w:r>
      <w:r w:rsidR="006504D9" w:rsidRPr="003C5ABE">
        <w:rPr>
          <w:rFonts w:cs="Arial"/>
          <w:szCs w:val="22"/>
          <w:lang w:val="es-MX"/>
        </w:rPr>
        <w:t>7.250.996.658</w:t>
      </w:r>
      <w:r w:rsidRPr="003C5ABE">
        <w:rPr>
          <w:rFonts w:cs="Arial"/>
          <w:szCs w:val="22"/>
          <w:lang w:val="es-MX"/>
        </w:rPr>
        <w:t>; de la reserva a disposición del máximo órgano social, la suma de $</w:t>
      </w:r>
      <w:r w:rsidR="00B635C7" w:rsidRPr="003C5ABE">
        <w:rPr>
          <w:rFonts w:cs="Arial"/>
          <w:szCs w:val="22"/>
          <w:lang w:val="es-MX"/>
        </w:rPr>
        <w:t xml:space="preserve"> </w:t>
      </w:r>
      <w:r w:rsidR="00FB561B" w:rsidRPr="003C5ABE">
        <w:rPr>
          <w:rFonts w:cs="Arial"/>
          <w:szCs w:val="22"/>
          <w:lang w:val="es-MX"/>
        </w:rPr>
        <w:t>68.524.141.735</w:t>
      </w:r>
      <w:r w:rsidRPr="003C5ABE">
        <w:rPr>
          <w:rFonts w:cs="Arial"/>
          <w:szCs w:val="22"/>
          <w:lang w:val="es-MX"/>
        </w:rPr>
        <w:t>, para llevar ambos valores a la Reserva de Readquisición de Acciones</w:t>
      </w:r>
      <w:r w:rsidR="00F44C6C" w:rsidRPr="003C5ABE">
        <w:rPr>
          <w:rFonts w:cs="Arial"/>
          <w:szCs w:val="22"/>
          <w:lang w:val="es-MX"/>
        </w:rPr>
        <w:t xml:space="preserve"> y </w:t>
      </w:r>
      <w:r w:rsidR="0010082F" w:rsidRPr="003C5ABE">
        <w:rPr>
          <w:rFonts w:cs="Arial"/>
          <w:szCs w:val="22"/>
          <w:lang w:val="es-MX"/>
        </w:rPr>
        <w:t xml:space="preserve">considerar a su vez </w:t>
      </w:r>
      <w:r w:rsidR="00E25812">
        <w:rPr>
          <w:rFonts w:cs="Arial"/>
          <w:szCs w:val="22"/>
          <w:lang w:val="es-MX"/>
        </w:rPr>
        <w:t xml:space="preserve">para implementar dicho proceso, </w:t>
      </w:r>
      <w:r w:rsidR="00F44C6C" w:rsidRPr="003C5ABE">
        <w:rPr>
          <w:rFonts w:cs="Arial"/>
          <w:szCs w:val="22"/>
          <w:lang w:val="es-MX"/>
        </w:rPr>
        <w:t>la suma de $</w:t>
      </w:r>
      <w:r w:rsidR="006504D9" w:rsidRPr="003C5ABE">
        <w:rPr>
          <w:rFonts w:cs="Arial"/>
          <w:szCs w:val="22"/>
          <w:lang w:val="es-MX"/>
        </w:rPr>
        <w:t xml:space="preserve"> 9.700.708.354 </w:t>
      </w:r>
      <w:r w:rsidR="00F44C6C" w:rsidRPr="003C5ABE">
        <w:rPr>
          <w:rFonts w:cs="Arial"/>
          <w:szCs w:val="22"/>
          <w:lang w:val="es-MX"/>
        </w:rPr>
        <w:t>que se encuentra actualmente en la Reserva para Readquisición de Acciones</w:t>
      </w:r>
      <w:r w:rsidRPr="003C5ABE">
        <w:rPr>
          <w:rFonts w:cs="Arial"/>
          <w:szCs w:val="22"/>
          <w:lang w:val="es-MX"/>
        </w:rPr>
        <w:t xml:space="preserve">. </w:t>
      </w:r>
      <w:r w:rsidR="00E25812">
        <w:rPr>
          <w:rFonts w:cs="Arial"/>
          <w:szCs w:val="22"/>
          <w:lang w:val="es-MX"/>
        </w:rPr>
        <w:t>E</w:t>
      </w:r>
      <w:r w:rsidRPr="003C5ABE">
        <w:rPr>
          <w:rFonts w:cs="Arial"/>
          <w:szCs w:val="22"/>
          <w:lang w:val="es-MX"/>
        </w:rPr>
        <w:t>n el evento que la Asamblea General de Accionistas apruebe el cambio de destinación de esta</w:t>
      </w:r>
      <w:r w:rsidR="00F44C6C" w:rsidRPr="003C5ABE">
        <w:rPr>
          <w:rFonts w:cs="Arial"/>
          <w:szCs w:val="22"/>
          <w:lang w:val="es-MX"/>
        </w:rPr>
        <w:t>s</w:t>
      </w:r>
      <w:r w:rsidRPr="003C5ABE">
        <w:rPr>
          <w:rFonts w:cs="Arial"/>
          <w:szCs w:val="22"/>
          <w:lang w:val="es-MX"/>
        </w:rPr>
        <w:t xml:space="preserve"> reserva</w:t>
      </w:r>
      <w:r w:rsidR="00F44C6C" w:rsidRPr="003C5ABE">
        <w:rPr>
          <w:rFonts w:cs="Arial"/>
          <w:szCs w:val="22"/>
          <w:lang w:val="es-MX"/>
        </w:rPr>
        <w:t xml:space="preserve">s </w:t>
      </w:r>
      <w:r w:rsidR="0010082F" w:rsidRPr="003C5ABE">
        <w:rPr>
          <w:rFonts w:cs="Arial"/>
          <w:szCs w:val="22"/>
          <w:lang w:val="es-MX"/>
        </w:rPr>
        <w:t>más</w:t>
      </w:r>
      <w:r w:rsidR="00F44C6C" w:rsidRPr="003C5ABE">
        <w:rPr>
          <w:rFonts w:cs="Arial"/>
          <w:szCs w:val="22"/>
          <w:lang w:val="es-MX"/>
        </w:rPr>
        <w:t xml:space="preserve"> las </w:t>
      </w:r>
      <w:r w:rsidR="0010082F" w:rsidRPr="003C5ABE">
        <w:rPr>
          <w:rFonts w:cs="Arial"/>
          <w:szCs w:val="22"/>
          <w:lang w:val="es-MX"/>
        </w:rPr>
        <w:t xml:space="preserve">que ya están </w:t>
      </w:r>
      <w:r w:rsidR="00F44C6C" w:rsidRPr="003C5ABE">
        <w:rPr>
          <w:rFonts w:cs="Arial"/>
          <w:szCs w:val="22"/>
          <w:lang w:val="es-MX"/>
        </w:rPr>
        <w:t>disponibles</w:t>
      </w:r>
      <w:r w:rsidRPr="003C5ABE">
        <w:rPr>
          <w:rFonts w:cs="Arial"/>
          <w:szCs w:val="22"/>
          <w:lang w:val="es-MX"/>
        </w:rPr>
        <w:t xml:space="preserve">, se propone realizar uno o varios procesos de readquisición de acciones hasta por un monto </w:t>
      </w:r>
      <w:r w:rsidRPr="004A60B3">
        <w:rPr>
          <w:rFonts w:cs="Arial"/>
          <w:szCs w:val="22"/>
          <w:lang w:val="es-MX"/>
        </w:rPr>
        <w:t>total de $</w:t>
      </w:r>
      <w:r w:rsidR="006504D9" w:rsidRPr="004A60B3">
        <w:rPr>
          <w:rFonts w:cs="Arial"/>
          <w:szCs w:val="22"/>
          <w:lang w:val="es-MX"/>
        </w:rPr>
        <w:t xml:space="preserve"> </w:t>
      </w:r>
      <w:r w:rsidR="00064FA2" w:rsidRPr="004A60B3">
        <w:rPr>
          <w:rFonts w:cs="Arial"/>
          <w:szCs w:val="22"/>
          <w:lang w:val="es-MX"/>
        </w:rPr>
        <w:t>95.475.</w:t>
      </w:r>
      <w:r w:rsidR="003C5ABE" w:rsidRPr="004A60B3">
        <w:rPr>
          <w:rFonts w:cs="Arial"/>
          <w:szCs w:val="22"/>
          <w:lang w:val="es-MX"/>
        </w:rPr>
        <w:t>000</w:t>
      </w:r>
      <w:r w:rsidR="00064FA2" w:rsidRPr="004A60B3">
        <w:rPr>
          <w:rFonts w:cs="Arial"/>
          <w:szCs w:val="22"/>
          <w:lang w:val="es-MX"/>
        </w:rPr>
        <w:t>.</w:t>
      </w:r>
      <w:r w:rsidR="003C5ABE" w:rsidRPr="004A60B3">
        <w:rPr>
          <w:rFonts w:cs="Arial"/>
          <w:szCs w:val="22"/>
          <w:lang w:val="es-MX"/>
        </w:rPr>
        <w:t>000</w:t>
      </w:r>
      <w:r w:rsidRPr="003C5ABE">
        <w:rPr>
          <w:rFonts w:cs="Arial"/>
          <w:szCs w:val="22"/>
          <w:lang w:val="es-MX"/>
        </w:rPr>
        <w:t>.</w:t>
      </w:r>
    </w:p>
    <w:p w14:paraId="65329FD1" w14:textId="77777777" w:rsidR="00F44C6C" w:rsidRDefault="00F44C6C" w:rsidP="00F44C6C">
      <w:pPr>
        <w:rPr>
          <w:rFonts w:ascii="Calibri" w:hAnsi="Calibri" w:cs="Arial"/>
          <w:sz w:val="22"/>
          <w:szCs w:val="22"/>
          <w:lang w:val="es-MX"/>
        </w:rPr>
      </w:pPr>
    </w:p>
    <w:p w14:paraId="7014876F" w14:textId="77777777" w:rsidR="00935514" w:rsidRPr="00F44C6C" w:rsidRDefault="00935514" w:rsidP="00F44C6C">
      <w:pPr>
        <w:rPr>
          <w:rFonts w:ascii="Calibri" w:hAnsi="Calibri" w:cs="Arial"/>
          <w:sz w:val="22"/>
          <w:szCs w:val="22"/>
          <w:lang w:val="es-CO"/>
        </w:rPr>
      </w:pPr>
    </w:p>
    <w:p w14:paraId="5856DE84" w14:textId="58B8ABB7" w:rsidR="009E6F3C" w:rsidRDefault="00087B72" w:rsidP="00087B72">
      <w:pPr>
        <w:rPr>
          <w:rFonts w:ascii="Calibri" w:hAnsi="Calibri" w:cs="Arial"/>
          <w:spacing w:val="-3"/>
          <w:sz w:val="22"/>
          <w:szCs w:val="22"/>
        </w:rPr>
      </w:pPr>
      <w:r w:rsidRPr="00087B72">
        <w:rPr>
          <w:rFonts w:ascii="Calibri" w:hAnsi="Calibri" w:cs="Arial"/>
          <w:sz w:val="22"/>
          <w:szCs w:val="22"/>
          <w:lang w:val="es-MX"/>
        </w:rPr>
        <w:t xml:space="preserve">En </w:t>
      </w:r>
      <w:r w:rsidR="00962B16" w:rsidRPr="00087B72">
        <w:rPr>
          <w:rFonts w:ascii="Calibri" w:hAnsi="Calibri" w:cs="Arial"/>
          <w:sz w:val="22"/>
          <w:szCs w:val="22"/>
          <w:lang w:val="es-MX"/>
        </w:rPr>
        <w:t>consecuencia,</w:t>
      </w:r>
      <w:r w:rsidRPr="00087B72">
        <w:rPr>
          <w:rFonts w:ascii="Calibri" w:hAnsi="Calibri" w:cs="Arial"/>
          <w:sz w:val="22"/>
          <w:szCs w:val="22"/>
          <w:lang w:val="es-MX"/>
        </w:rPr>
        <w:t xml:space="preserve"> el siguiente </w:t>
      </w:r>
      <w:r w:rsidR="00B743D8">
        <w:rPr>
          <w:rFonts w:ascii="Calibri" w:hAnsi="Calibri" w:cs="Arial"/>
          <w:spacing w:val="-3"/>
          <w:sz w:val="22"/>
          <w:szCs w:val="22"/>
        </w:rPr>
        <w:t>es</w:t>
      </w:r>
      <w:r w:rsidR="009E6F3C" w:rsidRPr="00087B72">
        <w:rPr>
          <w:rFonts w:ascii="Calibri" w:hAnsi="Calibri" w:cs="Arial"/>
          <w:spacing w:val="-3"/>
          <w:sz w:val="22"/>
          <w:szCs w:val="22"/>
        </w:rPr>
        <w:t xml:space="preserve"> el contenido de</w:t>
      </w:r>
      <w:r w:rsidR="00B743D8">
        <w:rPr>
          <w:rFonts w:ascii="Calibri" w:hAnsi="Calibri" w:cs="Arial"/>
          <w:spacing w:val="-3"/>
          <w:sz w:val="22"/>
          <w:szCs w:val="22"/>
        </w:rPr>
        <w:t>l proyecto a considerar</w:t>
      </w:r>
      <w:r w:rsidR="009E6F3C" w:rsidRPr="00087B72">
        <w:rPr>
          <w:rFonts w:ascii="Calibri" w:hAnsi="Calibri" w:cs="Arial"/>
          <w:spacing w:val="-3"/>
          <w:sz w:val="22"/>
          <w:szCs w:val="22"/>
        </w:rPr>
        <w:t>:</w:t>
      </w:r>
    </w:p>
    <w:p w14:paraId="59420443" w14:textId="781BBDAD" w:rsidR="00A033B6" w:rsidRPr="00087B72" w:rsidRDefault="00A033B6" w:rsidP="00087B72">
      <w:pPr>
        <w:rPr>
          <w:rFonts w:ascii="Calibri" w:hAnsi="Calibri" w:cs="Arial"/>
          <w:sz w:val="22"/>
          <w:szCs w:val="22"/>
          <w:lang w:val="es-MX"/>
        </w:rPr>
      </w:pPr>
    </w:p>
    <w:p w14:paraId="6FA6D5AA" w14:textId="77777777" w:rsidR="000E11D9" w:rsidRPr="007A738F" w:rsidRDefault="000E11D9" w:rsidP="000E11D9">
      <w:pPr>
        <w:suppressAutoHyphens/>
        <w:jc w:val="center"/>
        <w:rPr>
          <w:rFonts w:ascii="Calibri" w:hAnsi="Calibri" w:cs="Arial"/>
          <w:b/>
          <w:spacing w:val="-3"/>
          <w:sz w:val="22"/>
          <w:szCs w:val="22"/>
        </w:rPr>
      </w:pPr>
      <w:r w:rsidRPr="007A738F">
        <w:rPr>
          <w:rFonts w:ascii="Calibri" w:hAnsi="Calibri" w:cs="Arial"/>
          <w:b/>
          <w:spacing w:val="-3"/>
          <w:sz w:val="22"/>
          <w:szCs w:val="22"/>
        </w:rPr>
        <w:t xml:space="preserve">PROYECTO DE AUTORIZACIÓN PARA </w:t>
      </w:r>
      <w:smartTag w:uri="urn:schemas-microsoft-com:office:smarttags" w:element="PersonName">
        <w:smartTagPr>
          <w:attr w:name="ProductID" w:val="LA READQUISICIￓN DE"/>
        </w:smartTagPr>
        <w:r w:rsidRPr="007A738F">
          <w:rPr>
            <w:rFonts w:ascii="Calibri" w:hAnsi="Calibri" w:cs="Arial"/>
            <w:b/>
            <w:spacing w:val="-3"/>
            <w:sz w:val="22"/>
            <w:szCs w:val="22"/>
          </w:rPr>
          <w:t>LA READQUISICIÓN DE</w:t>
        </w:r>
      </w:smartTag>
      <w:r w:rsidRPr="007A738F">
        <w:rPr>
          <w:rFonts w:ascii="Calibri" w:hAnsi="Calibri" w:cs="Arial"/>
          <w:b/>
          <w:spacing w:val="-3"/>
          <w:sz w:val="22"/>
          <w:szCs w:val="22"/>
        </w:rPr>
        <w:t xml:space="preserve"> ACCIONES</w:t>
      </w:r>
    </w:p>
    <w:p w14:paraId="6E5FC467" w14:textId="77777777" w:rsidR="000E11D9" w:rsidRPr="007A738F" w:rsidRDefault="000E11D9" w:rsidP="000E11D9">
      <w:pPr>
        <w:suppressAutoHyphens/>
        <w:jc w:val="center"/>
        <w:rPr>
          <w:rFonts w:ascii="Calibri" w:hAnsi="Calibri" w:cs="Arial"/>
          <w:spacing w:val="-3"/>
          <w:sz w:val="22"/>
          <w:szCs w:val="22"/>
        </w:rPr>
      </w:pPr>
    </w:p>
    <w:p w14:paraId="6AFEA81D" w14:textId="48A3DC74" w:rsidR="000E11D9" w:rsidRPr="007A738F" w:rsidRDefault="000E11D9" w:rsidP="000E11D9">
      <w:pPr>
        <w:suppressAutoHyphens/>
        <w:jc w:val="both"/>
        <w:rPr>
          <w:rFonts w:ascii="Calibri" w:hAnsi="Calibri" w:cs="Arial"/>
          <w:spacing w:val="-3"/>
          <w:sz w:val="22"/>
          <w:szCs w:val="22"/>
        </w:rPr>
      </w:pPr>
      <w:r w:rsidRPr="007A738F">
        <w:rPr>
          <w:rFonts w:ascii="Calibri" w:hAnsi="Calibri" w:cs="Arial"/>
          <w:spacing w:val="-3"/>
          <w:sz w:val="22"/>
          <w:szCs w:val="22"/>
        </w:rPr>
        <w:t xml:space="preserve">La Asamblea General </w:t>
      </w:r>
      <w:r w:rsidR="00E25812">
        <w:rPr>
          <w:rFonts w:ascii="Calibri" w:hAnsi="Calibri" w:cs="Arial"/>
          <w:spacing w:val="-3"/>
          <w:sz w:val="22"/>
          <w:szCs w:val="22"/>
        </w:rPr>
        <w:t>Extrao</w:t>
      </w:r>
      <w:r w:rsidRPr="007A738F">
        <w:rPr>
          <w:rFonts w:ascii="Calibri" w:hAnsi="Calibri" w:cs="Arial"/>
          <w:spacing w:val="-3"/>
          <w:sz w:val="22"/>
          <w:szCs w:val="22"/>
        </w:rPr>
        <w:t xml:space="preserve">rdinaria de Accionistas de </w:t>
      </w:r>
      <w:r w:rsidRPr="007A738F">
        <w:rPr>
          <w:rFonts w:ascii="Calibri" w:hAnsi="Calibri" w:cs="Arial"/>
          <w:b/>
          <w:spacing w:val="-3"/>
          <w:sz w:val="22"/>
          <w:szCs w:val="22"/>
        </w:rPr>
        <w:t>VALORES SIMESA S.A.</w:t>
      </w:r>
      <w:r w:rsidRPr="007A738F">
        <w:rPr>
          <w:rFonts w:ascii="Calibri" w:hAnsi="Calibri" w:cs="Arial"/>
          <w:spacing w:val="-3"/>
          <w:sz w:val="22"/>
          <w:szCs w:val="22"/>
        </w:rPr>
        <w:t>, en uso de sus atribuciones legales y estatutarias, y</w:t>
      </w:r>
    </w:p>
    <w:p w14:paraId="5DB41919" w14:textId="77777777" w:rsidR="000E11D9" w:rsidRDefault="000E11D9" w:rsidP="000E11D9">
      <w:pPr>
        <w:suppressAutoHyphens/>
        <w:jc w:val="center"/>
        <w:rPr>
          <w:rFonts w:ascii="Calibri" w:hAnsi="Calibri" w:cs="Arial"/>
          <w:b/>
          <w:spacing w:val="-3"/>
          <w:sz w:val="22"/>
          <w:szCs w:val="22"/>
        </w:rPr>
      </w:pPr>
      <w:r w:rsidRPr="007A738F">
        <w:rPr>
          <w:rFonts w:ascii="Calibri" w:hAnsi="Calibri" w:cs="Arial"/>
          <w:b/>
          <w:spacing w:val="-3"/>
          <w:sz w:val="22"/>
          <w:szCs w:val="22"/>
        </w:rPr>
        <w:t>Considerando</w:t>
      </w:r>
    </w:p>
    <w:p w14:paraId="080DC0CA" w14:textId="77777777" w:rsidR="00A033B6" w:rsidRPr="007A738F" w:rsidRDefault="00A033B6" w:rsidP="000E11D9">
      <w:pPr>
        <w:suppressAutoHyphens/>
        <w:jc w:val="center"/>
        <w:rPr>
          <w:rFonts w:ascii="Calibri" w:hAnsi="Calibri" w:cs="Arial"/>
          <w:b/>
          <w:spacing w:val="-3"/>
          <w:sz w:val="22"/>
          <w:szCs w:val="22"/>
        </w:rPr>
      </w:pPr>
    </w:p>
    <w:p w14:paraId="18B210BE" w14:textId="619166E5" w:rsidR="000E11D9" w:rsidRPr="007A738F" w:rsidRDefault="000E11D9" w:rsidP="000E11D9">
      <w:pPr>
        <w:numPr>
          <w:ilvl w:val="0"/>
          <w:numId w:val="1"/>
        </w:numPr>
        <w:tabs>
          <w:tab w:val="clear" w:pos="720"/>
          <w:tab w:val="num" w:pos="240"/>
        </w:tabs>
        <w:suppressAutoHyphens/>
        <w:ind w:left="0" w:firstLine="0"/>
        <w:jc w:val="both"/>
        <w:rPr>
          <w:rFonts w:ascii="Calibri" w:hAnsi="Calibri" w:cs="Arial"/>
          <w:spacing w:val="-3"/>
          <w:sz w:val="22"/>
          <w:szCs w:val="22"/>
        </w:rPr>
      </w:pPr>
      <w:r w:rsidRPr="007A738F">
        <w:rPr>
          <w:rFonts w:ascii="Calibri" w:hAnsi="Calibri" w:cs="Arial"/>
          <w:spacing w:val="-3"/>
          <w:sz w:val="22"/>
          <w:szCs w:val="22"/>
        </w:rPr>
        <w:t xml:space="preserve">Que </w:t>
      </w:r>
      <w:r w:rsidR="002D42AB">
        <w:rPr>
          <w:rFonts w:ascii="Calibri" w:hAnsi="Calibri" w:cs="Arial"/>
          <w:spacing w:val="-3"/>
          <w:sz w:val="22"/>
          <w:szCs w:val="22"/>
        </w:rPr>
        <w:t xml:space="preserve">considera </w:t>
      </w:r>
      <w:r w:rsidRPr="007A738F">
        <w:rPr>
          <w:rFonts w:ascii="Calibri" w:hAnsi="Calibri" w:cs="Arial"/>
          <w:spacing w:val="-3"/>
          <w:sz w:val="22"/>
          <w:szCs w:val="22"/>
        </w:rPr>
        <w:t xml:space="preserve">conveniente realizar </w:t>
      </w:r>
      <w:r w:rsidR="002D42AB">
        <w:rPr>
          <w:rFonts w:ascii="Calibri" w:hAnsi="Calibri" w:cs="Arial"/>
          <w:spacing w:val="-3"/>
          <w:sz w:val="22"/>
          <w:szCs w:val="22"/>
        </w:rPr>
        <w:t xml:space="preserve">una o </w:t>
      </w:r>
      <w:r w:rsidR="007E660B">
        <w:rPr>
          <w:rFonts w:ascii="Calibri" w:hAnsi="Calibri" w:cs="Arial"/>
          <w:spacing w:val="-3"/>
          <w:sz w:val="22"/>
          <w:szCs w:val="22"/>
        </w:rPr>
        <w:t>varias</w:t>
      </w:r>
      <w:r w:rsidRPr="007A738F">
        <w:rPr>
          <w:rFonts w:ascii="Calibri" w:hAnsi="Calibri" w:cs="Arial"/>
          <w:spacing w:val="-3"/>
          <w:sz w:val="22"/>
          <w:szCs w:val="22"/>
        </w:rPr>
        <w:t xml:space="preserve"> oferta</w:t>
      </w:r>
      <w:r w:rsidR="007E660B">
        <w:rPr>
          <w:rFonts w:ascii="Calibri" w:hAnsi="Calibri" w:cs="Arial"/>
          <w:spacing w:val="-3"/>
          <w:sz w:val="22"/>
          <w:szCs w:val="22"/>
        </w:rPr>
        <w:t>s</w:t>
      </w:r>
      <w:r w:rsidRPr="007A738F">
        <w:rPr>
          <w:rFonts w:ascii="Calibri" w:hAnsi="Calibri" w:cs="Arial"/>
          <w:spacing w:val="-3"/>
          <w:sz w:val="22"/>
          <w:szCs w:val="22"/>
        </w:rPr>
        <w:t xml:space="preserve"> de readquisición de acciones dirigida</w:t>
      </w:r>
      <w:r w:rsidR="007E660B">
        <w:rPr>
          <w:rFonts w:ascii="Calibri" w:hAnsi="Calibri" w:cs="Arial"/>
          <w:spacing w:val="-3"/>
          <w:sz w:val="22"/>
          <w:szCs w:val="22"/>
        </w:rPr>
        <w:t>s</w:t>
      </w:r>
      <w:r w:rsidR="005E10BB">
        <w:rPr>
          <w:rFonts w:ascii="Calibri" w:hAnsi="Calibri" w:cs="Arial"/>
          <w:spacing w:val="-3"/>
          <w:sz w:val="22"/>
          <w:szCs w:val="22"/>
        </w:rPr>
        <w:t xml:space="preserve"> a todos los accionistas de la S</w:t>
      </w:r>
      <w:r w:rsidRPr="007A738F">
        <w:rPr>
          <w:rFonts w:ascii="Calibri" w:hAnsi="Calibri" w:cs="Arial"/>
          <w:spacing w:val="-3"/>
          <w:sz w:val="22"/>
          <w:szCs w:val="22"/>
        </w:rPr>
        <w:t>ociedad.</w:t>
      </w:r>
    </w:p>
    <w:p w14:paraId="0239092B" w14:textId="77777777" w:rsidR="000E11D9" w:rsidRPr="007A738F" w:rsidRDefault="000E11D9" w:rsidP="000E11D9">
      <w:pPr>
        <w:tabs>
          <w:tab w:val="num" w:pos="240"/>
        </w:tabs>
        <w:suppressAutoHyphens/>
        <w:jc w:val="both"/>
        <w:rPr>
          <w:rFonts w:ascii="Calibri" w:hAnsi="Calibri" w:cs="Arial"/>
          <w:spacing w:val="-3"/>
          <w:sz w:val="22"/>
          <w:szCs w:val="22"/>
        </w:rPr>
      </w:pPr>
    </w:p>
    <w:p w14:paraId="61215650" w14:textId="77777777" w:rsidR="000E11D9" w:rsidRPr="007A738F" w:rsidRDefault="000E11D9" w:rsidP="000E11D9">
      <w:pPr>
        <w:tabs>
          <w:tab w:val="num" w:pos="240"/>
        </w:tabs>
        <w:suppressAutoHyphens/>
        <w:jc w:val="both"/>
        <w:rPr>
          <w:rFonts w:ascii="Calibri" w:hAnsi="Calibri" w:cs="Arial"/>
          <w:spacing w:val="-3"/>
          <w:sz w:val="22"/>
          <w:szCs w:val="22"/>
        </w:rPr>
      </w:pPr>
      <w:r w:rsidRPr="007A738F">
        <w:rPr>
          <w:rFonts w:ascii="Calibri" w:hAnsi="Calibri" w:cs="Arial"/>
          <w:spacing w:val="-3"/>
          <w:sz w:val="22"/>
          <w:szCs w:val="22"/>
        </w:rPr>
        <w:t xml:space="preserve">2. Que tal readquisición debe realizarse dando estricto cumplimiento a los requisitos legales, en especial los consagrados en los artículos 396 del Código de Comercio y 42 de </w:t>
      </w:r>
      <w:smartTag w:uri="urn:schemas-microsoft-com:office:smarttags" w:element="PersonName">
        <w:smartTagPr>
          <w:attr w:name="ProductID" w:val="la Ley"/>
        </w:smartTagPr>
        <w:r w:rsidRPr="007A738F">
          <w:rPr>
            <w:rFonts w:ascii="Calibri" w:hAnsi="Calibri" w:cs="Arial"/>
            <w:spacing w:val="-3"/>
            <w:sz w:val="22"/>
            <w:szCs w:val="22"/>
          </w:rPr>
          <w:t>la Ley</w:t>
        </w:r>
      </w:smartTag>
      <w:r w:rsidRPr="007A738F">
        <w:rPr>
          <w:rFonts w:ascii="Calibri" w:hAnsi="Calibri" w:cs="Arial"/>
          <w:spacing w:val="-3"/>
          <w:sz w:val="22"/>
          <w:szCs w:val="22"/>
        </w:rPr>
        <w:t xml:space="preserve"> 964 de 2005.</w:t>
      </w:r>
    </w:p>
    <w:p w14:paraId="56F934E6" w14:textId="77777777" w:rsidR="000E11D9" w:rsidRPr="007A738F" w:rsidRDefault="000E11D9" w:rsidP="000E11D9">
      <w:pPr>
        <w:tabs>
          <w:tab w:val="num" w:pos="240"/>
        </w:tabs>
        <w:suppressAutoHyphens/>
        <w:jc w:val="both"/>
        <w:rPr>
          <w:rFonts w:ascii="Calibri" w:hAnsi="Calibri" w:cs="Arial"/>
          <w:spacing w:val="-3"/>
          <w:sz w:val="22"/>
          <w:szCs w:val="22"/>
        </w:rPr>
      </w:pPr>
    </w:p>
    <w:p w14:paraId="316F335F" w14:textId="77777777" w:rsidR="000E11D9" w:rsidRPr="007A738F" w:rsidRDefault="000E11D9" w:rsidP="000E11D9">
      <w:pPr>
        <w:tabs>
          <w:tab w:val="num" w:pos="240"/>
        </w:tabs>
        <w:suppressAutoHyphens/>
        <w:jc w:val="center"/>
        <w:rPr>
          <w:rFonts w:ascii="Calibri" w:hAnsi="Calibri" w:cs="Arial"/>
          <w:b/>
          <w:spacing w:val="-3"/>
          <w:sz w:val="22"/>
          <w:szCs w:val="22"/>
        </w:rPr>
      </w:pPr>
      <w:r w:rsidRPr="007A738F">
        <w:rPr>
          <w:rFonts w:ascii="Calibri" w:hAnsi="Calibri" w:cs="Arial"/>
          <w:b/>
          <w:spacing w:val="-3"/>
          <w:sz w:val="22"/>
          <w:szCs w:val="22"/>
        </w:rPr>
        <w:t>Resuelve</w:t>
      </w:r>
    </w:p>
    <w:p w14:paraId="121298DC" w14:textId="77777777" w:rsidR="000E11D9" w:rsidRPr="007A738F" w:rsidRDefault="000E11D9" w:rsidP="000E11D9">
      <w:pPr>
        <w:suppressAutoHyphens/>
        <w:jc w:val="both"/>
        <w:rPr>
          <w:rFonts w:ascii="Calibri" w:hAnsi="Calibri" w:cs="Arial"/>
          <w:spacing w:val="-3"/>
          <w:sz w:val="22"/>
          <w:szCs w:val="22"/>
        </w:rPr>
      </w:pPr>
    </w:p>
    <w:p w14:paraId="6E7EDF20" w14:textId="41086319" w:rsidR="000E11D9" w:rsidRPr="007A738F" w:rsidRDefault="000E11D9" w:rsidP="000E11D9">
      <w:pPr>
        <w:suppressAutoHyphens/>
        <w:jc w:val="both"/>
        <w:rPr>
          <w:rFonts w:ascii="Calibri" w:hAnsi="Calibri" w:cs="Arial"/>
          <w:spacing w:val="-3"/>
          <w:sz w:val="22"/>
          <w:szCs w:val="22"/>
        </w:rPr>
      </w:pPr>
      <w:r w:rsidRPr="007A738F">
        <w:rPr>
          <w:rFonts w:ascii="Calibri" w:hAnsi="Calibri" w:cs="Arial"/>
          <w:b/>
          <w:spacing w:val="-3"/>
          <w:sz w:val="22"/>
          <w:szCs w:val="22"/>
        </w:rPr>
        <w:t>Primero:</w:t>
      </w:r>
      <w:r w:rsidRPr="007A738F">
        <w:rPr>
          <w:rFonts w:ascii="Calibri" w:hAnsi="Calibri" w:cs="Arial"/>
          <w:spacing w:val="-3"/>
          <w:sz w:val="22"/>
          <w:szCs w:val="22"/>
        </w:rPr>
        <w:t xml:space="preserve"> Autorizar a la Administración de la Sociedad para dis</w:t>
      </w:r>
      <w:r>
        <w:rPr>
          <w:rFonts w:ascii="Calibri" w:hAnsi="Calibri" w:cs="Arial"/>
          <w:spacing w:val="-3"/>
          <w:sz w:val="22"/>
          <w:szCs w:val="22"/>
        </w:rPr>
        <w:t xml:space="preserve">poner de un monto de </w:t>
      </w:r>
      <w:r w:rsidRPr="004A60B3">
        <w:rPr>
          <w:rFonts w:ascii="Calibri" w:hAnsi="Calibri" w:cs="Arial"/>
          <w:spacing w:val="-3"/>
          <w:sz w:val="22"/>
          <w:szCs w:val="22"/>
        </w:rPr>
        <w:t xml:space="preserve">hasta $ </w:t>
      </w:r>
      <w:r w:rsidR="00064FA2" w:rsidRPr="004A60B3">
        <w:rPr>
          <w:rFonts w:ascii="Calibri" w:hAnsi="Calibri" w:cs="Arial"/>
          <w:spacing w:val="-3"/>
          <w:sz w:val="22"/>
          <w:szCs w:val="22"/>
        </w:rPr>
        <w:t>95.475.</w:t>
      </w:r>
      <w:r w:rsidR="00941C0A" w:rsidRPr="004A60B3">
        <w:rPr>
          <w:rFonts w:ascii="Calibri" w:hAnsi="Calibri" w:cs="Arial"/>
          <w:spacing w:val="-3"/>
          <w:sz w:val="22"/>
          <w:szCs w:val="22"/>
        </w:rPr>
        <w:t>000</w:t>
      </w:r>
      <w:r w:rsidR="00064FA2" w:rsidRPr="004A60B3">
        <w:rPr>
          <w:rFonts w:ascii="Calibri" w:hAnsi="Calibri" w:cs="Arial"/>
          <w:spacing w:val="-3"/>
          <w:sz w:val="22"/>
          <w:szCs w:val="22"/>
        </w:rPr>
        <w:t>.</w:t>
      </w:r>
      <w:r w:rsidR="00941C0A" w:rsidRPr="004A60B3">
        <w:rPr>
          <w:rFonts w:ascii="Calibri" w:hAnsi="Calibri" w:cs="Arial"/>
          <w:spacing w:val="-3"/>
          <w:sz w:val="22"/>
          <w:szCs w:val="22"/>
        </w:rPr>
        <w:t xml:space="preserve">000 </w:t>
      </w:r>
      <w:r w:rsidRPr="007A738F">
        <w:rPr>
          <w:rFonts w:ascii="Calibri" w:hAnsi="Calibri" w:cs="Arial"/>
          <w:spacing w:val="-3"/>
          <w:sz w:val="22"/>
          <w:szCs w:val="22"/>
        </w:rPr>
        <w:t>para formular una o varias ofertas de readquisición de acciones, con cargo a la reserva para readquisición de acciones.</w:t>
      </w:r>
    </w:p>
    <w:p w14:paraId="1442B91A" w14:textId="77777777" w:rsidR="000E11D9" w:rsidRPr="007A738F" w:rsidRDefault="000E11D9" w:rsidP="000E11D9">
      <w:pPr>
        <w:suppressAutoHyphens/>
        <w:jc w:val="both"/>
        <w:rPr>
          <w:rFonts w:ascii="Calibri" w:hAnsi="Calibri" w:cs="Arial"/>
          <w:spacing w:val="-3"/>
          <w:sz w:val="22"/>
          <w:szCs w:val="22"/>
        </w:rPr>
      </w:pPr>
    </w:p>
    <w:p w14:paraId="5EC3D244" w14:textId="77777777" w:rsidR="000E11D9" w:rsidRPr="007A738F" w:rsidRDefault="000E11D9" w:rsidP="000E11D9">
      <w:pPr>
        <w:suppressAutoHyphens/>
        <w:jc w:val="both"/>
        <w:rPr>
          <w:rFonts w:ascii="Calibri" w:hAnsi="Calibri" w:cs="Arial"/>
          <w:spacing w:val="-3"/>
          <w:sz w:val="22"/>
          <w:szCs w:val="22"/>
        </w:rPr>
      </w:pPr>
      <w:r w:rsidRPr="007A738F">
        <w:rPr>
          <w:rFonts w:ascii="Calibri" w:hAnsi="Calibri" w:cs="Arial"/>
          <w:b/>
          <w:spacing w:val="-3"/>
          <w:sz w:val="22"/>
          <w:szCs w:val="22"/>
        </w:rPr>
        <w:t xml:space="preserve">Segundo: </w:t>
      </w:r>
      <w:r w:rsidRPr="007A738F">
        <w:rPr>
          <w:rFonts w:ascii="Calibri" w:hAnsi="Calibri" w:cs="Arial"/>
          <w:spacing w:val="-3"/>
          <w:sz w:val="22"/>
          <w:szCs w:val="22"/>
        </w:rPr>
        <w:t xml:space="preserve">Facultar a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7A738F">
            <w:rPr>
              <w:rFonts w:ascii="Calibri" w:hAnsi="Calibri" w:cs="Arial"/>
              <w:spacing w:val="-3"/>
              <w:sz w:val="22"/>
              <w:szCs w:val="22"/>
            </w:rPr>
            <w:t>la Junta</w:t>
          </w:r>
        </w:smartTag>
        <w:r w:rsidRPr="007A738F">
          <w:rPr>
            <w:rFonts w:ascii="Calibri" w:hAnsi="Calibri" w:cs="Arial"/>
            <w:spacing w:val="-3"/>
            <w:sz w:val="22"/>
            <w:szCs w:val="22"/>
          </w:rPr>
          <w:t xml:space="preserve"> Directiva</w:t>
        </w:r>
      </w:smartTag>
      <w:r w:rsidRPr="007A738F">
        <w:rPr>
          <w:rFonts w:ascii="Calibri" w:hAnsi="Calibri" w:cs="Arial"/>
          <w:spacing w:val="-3"/>
          <w:sz w:val="22"/>
          <w:szCs w:val="22"/>
        </w:rPr>
        <w:t xml:space="preserve"> de </w:t>
      </w:r>
      <w:smartTag w:uri="urn:schemas-microsoft-com:office:smarttags" w:element="PersonName">
        <w:smartTagPr>
          <w:attr w:name="ProductID" w:val="la Sociedad"/>
        </w:smartTagPr>
        <w:r w:rsidRPr="007A738F">
          <w:rPr>
            <w:rFonts w:ascii="Calibri" w:hAnsi="Calibri" w:cs="Arial"/>
            <w:spacing w:val="-3"/>
            <w:sz w:val="22"/>
            <w:szCs w:val="22"/>
          </w:rPr>
          <w:t>la Sociedad</w:t>
        </w:r>
      </w:smartTag>
      <w:r w:rsidRPr="007A738F">
        <w:rPr>
          <w:rFonts w:ascii="Calibri" w:hAnsi="Calibri" w:cs="Arial"/>
          <w:spacing w:val="-3"/>
          <w:sz w:val="22"/>
          <w:szCs w:val="22"/>
        </w:rPr>
        <w:t xml:space="preserve"> para establecer y aprobar un Reglamento General de Readquisición, en desarrollo de la presente Resolución. Tal reglamento se sujetará a los siguientes lineamientos generales:</w:t>
      </w:r>
    </w:p>
    <w:p w14:paraId="196660E8" w14:textId="77777777" w:rsidR="000E11D9" w:rsidRPr="007A738F" w:rsidRDefault="000E11D9" w:rsidP="000E11D9">
      <w:pPr>
        <w:suppressAutoHyphens/>
        <w:jc w:val="both"/>
        <w:rPr>
          <w:rFonts w:ascii="Calibri" w:hAnsi="Calibri" w:cs="Arial"/>
          <w:spacing w:val="-3"/>
          <w:sz w:val="22"/>
          <w:szCs w:val="22"/>
        </w:rPr>
      </w:pPr>
    </w:p>
    <w:p w14:paraId="07A074D5" w14:textId="77777777" w:rsidR="000E11D9" w:rsidRPr="007A738F" w:rsidRDefault="000E11D9" w:rsidP="000E11D9">
      <w:pPr>
        <w:numPr>
          <w:ilvl w:val="0"/>
          <w:numId w:val="2"/>
        </w:numPr>
        <w:suppressAutoHyphens/>
        <w:jc w:val="both"/>
        <w:rPr>
          <w:rFonts w:ascii="Calibri" w:hAnsi="Calibri" w:cs="Arial"/>
          <w:spacing w:val="-3"/>
          <w:sz w:val="22"/>
          <w:szCs w:val="22"/>
        </w:rPr>
      </w:pPr>
      <w:r w:rsidRPr="007A738F">
        <w:rPr>
          <w:rFonts w:ascii="Calibri" w:hAnsi="Calibri" w:cs="Arial"/>
          <w:spacing w:val="-3"/>
          <w:sz w:val="22"/>
          <w:szCs w:val="22"/>
        </w:rPr>
        <w:t xml:space="preserve">El precio deberá determinarse con base en un estudio realizado de conformidad con procedimientos reconocidos técnicamente, el cual será contratado por la administración de </w:t>
      </w:r>
      <w:r w:rsidRPr="007A738F">
        <w:rPr>
          <w:rFonts w:ascii="Calibri" w:hAnsi="Calibri" w:cs="Arial"/>
          <w:b/>
          <w:spacing w:val="-3"/>
          <w:sz w:val="22"/>
          <w:szCs w:val="22"/>
        </w:rPr>
        <w:t>VALORES SIMESA S.A.</w:t>
      </w:r>
    </w:p>
    <w:p w14:paraId="31AECCF9" w14:textId="77777777" w:rsidR="000E11D9" w:rsidRPr="007A738F" w:rsidRDefault="000E11D9" w:rsidP="000E11D9">
      <w:pPr>
        <w:suppressAutoHyphens/>
        <w:jc w:val="both"/>
        <w:rPr>
          <w:rFonts w:ascii="Calibri" w:hAnsi="Calibri" w:cs="Arial"/>
          <w:spacing w:val="-3"/>
          <w:sz w:val="22"/>
          <w:szCs w:val="22"/>
        </w:rPr>
      </w:pPr>
    </w:p>
    <w:p w14:paraId="19FA2BC6" w14:textId="4706BB73" w:rsidR="000E11D9" w:rsidRPr="007A738F" w:rsidRDefault="000E11D9" w:rsidP="000E11D9">
      <w:pPr>
        <w:numPr>
          <w:ilvl w:val="0"/>
          <w:numId w:val="2"/>
        </w:numPr>
        <w:suppressAutoHyphens/>
        <w:jc w:val="both"/>
        <w:rPr>
          <w:rFonts w:ascii="Calibri" w:hAnsi="Calibri" w:cs="Arial"/>
          <w:spacing w:val="-3"/>
          <w:sz w:val="22"/>
          <w:szCs w:val="22"/>
        </w:rPr>
      </w:pPr>
      <w:r w:rsidRPr="007A738F">
        <w:rPr>
          <w:rFonts w:ascii="Calibri" w:hAnsi="Calibri" w:cs="Arial"/>
          <w:spacing w:val="-3"/>
          <w:sz w:val="22"/>
          <w:szCs w:val="22"/>
        </w:rPr>
        <w:lastRenderedPageBreak/>
        <w:t xml:space="preserve">El plazo de vigencia de la oferta </w:t>
      </w:r>
      <w:r w:rsidRPr="004A60B3">
        <w:rPr>
          <w:rFonts w:ascii="Calibri" w:hAnsi="Calibri" w:cs="Arial"/>
          <w:spacing w:val="-3"/>
          <w:sz w:val="22"/>
          <w:szCs w:val="22"/>
        </w:rPr>
        <w:t xml:space="preserve">será de </w:t>
      </w:r>
      <w:r w:rsidR="004A60B3" w:rsidRPr="004A60B3">
        <w:rPr>
          <w:rFonts w:ascii="Calibri" w:hAnsi="Calibri" w:cs="Arial"/>
          <w:spacing w:val="-3"/>
          <w:sz w:val="22"/>
          <w:szCs w:val="22"/>
        </w:rPr>
        <w:t xml:space="preserve">treinta </w:t>
      </w:r>
      <w:r w:rsidRPr="004A60B3">
        <w:rPr>
          <w:rFonts w:ascii="Calibri" w:hAnsi="Calibri" w:cs="Arial"/>
          <w:spacing w:val="-3"/>
          <w:sz w:val="22"/>
          <w:szCs w:val="22"/>
        </w:rPr>
        <w:t>(</w:t>
      </w:r>
      <w:r w:rsidR="004A60B3" w:rsidRPr="004A60B3">
        <w:rPr>
          <w:rFonts w:ascii="Calibri" w:hAnsi="Calibri" w:cs="Arial"/>
          <w:spacing w:val="-3"/>
          <w:sz w:val="22"/>
          <w:szCs w:val="22"/>
        </w:rPr>
        <w:t>3</w:t>
      </w:r>
      <w:r w:rsidRPr="004A60B3">
        <w:rPr>
          <w:rFonts w:ascii="Calibri" w:hAnsi="Calibri" w:cs="Arial"/>
          <w:spacing w:val="-3"/>
          <w:sz w:val="22"/>
          <w:szCs w:val="22"/>
        </w:rPr>
        <w:t xml:space="preserve">0) </w:t>
      </w:r>
      <w:r w:rsidRPr="007A738F">
        <w:rPr>
          <w:rFonts w:ascii="Calibri" w:hAnsi="Calibri" w:cs="Arial"/>
          <w:spacing w:val="-3"/>
          <w:sz w:val="22"/>
          <w:szCs w:val="22"/>
        </w:rPr>
        <w:t>días calendario contados a partir de la publicación de la oferta que para el efecto se realice, en un diario de amplia circulación nacional</w:t>
      </w:r>
      <w:r w:rsidR="00962B16">
        <w:rPr>
          <w:rFonts w:ascii="Calibri" w:hAnsi="Calibri" w:cs="Arial"/>
          <w:spacing w:val="-3"/>
          <w:sz w:val="22"/>
          <w:szCs w:val="22"/>
        </w:rPr>
        <w:t>.</w:t>
      </w:r>
    </w:p>
    <w:p w14:paraId="2D6E1110" w14:textId="77777777" w:rsidR="000E11D9" w:rsidRPr="007A738F" w:rsidRDefault="000E11D9" w:rsidP="000E11D9">
      <w:pPr>
        <w:suppressAutoHyphens/>
        <w:jc w:val="both"/>
        <w:rPr>
          <w:rFonts w:ascii="Calibri" w:hAnsi="Calibri" w:cs="Arial"/>
          <w:spacing w:val="-3"/>
          <w:sz w:val="22"/>
          <w:szCs w:val="22"/>
        </w:rPr>
      </w:pPr>
    </w:p>
    <w:p w14:paraId="5019134E" w14:textId="272699F8" w:rsidR="000E11D9" w:rsidRDefault="00033268" w:rsidP="000E11D9">
      <w:pPr>
        <w:numPr>
          <w:ilvl w:val="0"/>
          <w:numId w:val="2"/>
        </w:numPr>
        <w:suppressAutoHyphens/>
        <w:jc w:val="both"/>
        <w:rPr>
          <w:rFonts w:ascii="Calibri" w:hAnsi="Calibri" w:cs="Arial"/>
          <w:spacing w:val="-3"/>
          <w:sz w:val="22"/>
          <w:szCs w:val="22"/>
        </w:rPr>
      </w:pPr>
      <w:r w:rsidRPr="007A738F">
        <w:rPr>
          <w:rFonts w:ascii="Calibri" w:hAnsi="Calibri" w:cs="Arial"/>
          <w:spacing w:val="-3"/>
          <w:sz w:val="22"/>
          <w:szCs w:val="22"/>
        </w:rPr>
        <w:t xml:space="preserve">El procedimiento de readquisición </w:t>
      </w:r>
      <w:r>
        <w:rPr>
          <w:rFonts w:ascii="Calibri" w:hAnsi="Calibri" w:cs="Arial"/>
          <w:spacing w:val="-3"/>
          <w:sz w:val="22"/>
          <w:szCs w:val="22"/>
        </w:rPr>
        <w:t>g</w:t>
      </w:r>
      <w:r w:rsidRPr="007A738F">
        <w:rPr>
          <w:rFonts w:ascii="Calibri" w:hAnsi="Calibri" w:cs="Arial"/>
          <w:spacing w:val="-3"/>
          <w:sz w:val="22"/>
          <w:szCs w:val="22"/>
        </w:rPr>
        <w:t>arantizar</w:t>
      </w:r>
      <w:r>
        <w:rPr>
          <w:rFonts w:ascii="Calibri" w:hAnsi="Calibri" w:cs="Arial"/>
          <w:spacing w:val="-3"/>
          <w:sz w:val="22"/>
          <w:szCs w:val="22"/>
        </w:rPr>
        <w:t>á</w:t>
      </w:r>
      <w:r w:rsidRPr="007A738F">
        <w:rPr>
          <w:rFonts w:ascii="Calibri" w:hAnsi="Calibri" w:cs="Arial"/>
          <w:spacing w:val="-3"/>
          <w:sz w:val="22"/>
          <w:szCs w:val="22"/>
        </w:rPr>
        <w:t xml:space="preserve"> la igualdad de condiciones a todos los accionistas, de manera que cada accionista tenga la posibilidad real de enajenar a favor de la Sociedad un porcentaje de sus acciones a prorrata de su participación en la propiedad de la Compañía. Si se presentaren fracciones de acciones, el manejo de éstas se establecerá en el reglamento, de tal forma que los accionistas puedan vender al menos una acción.</w:t>
      </w:r>
    </w:p>
    <w:p w14:paraId="4B47A38C" w14:textId="77777777" w:rsidR="00033268" w:rsidRPr="00033268" w:rsidRDefault="00033268" w:rsidP="00033268">
      <w:pPr>
        <w:suppressAutoHyphens/>
        <w:jc w:val="both"/>
        <w:rPr>
          <w:rFonts w:ascii="Calibri" w:hAnsi="Calibri" w:cs="Arial"/>
          <w:spacing w:val="-3"/>
          <w:sz w:val="22"/>
          <w:szCs w:val="22"/>
        </w:rPr>
      </w:pPr>
    </w:p>
    <w:p w14:paraId="6D067645" w14:textId="77777777" w:rsidR="000E11D9" w:rsidRPr="007A738F" w:rsidRDefault="000E11D9" w:rsidP="000E11D9">
      <w:pPr>
        <w:suppressAutoHyphens/>
        <w:jc w:val="both"/>
        <w:rPr>
          <w:rFonts w:ascii="Calibri" w:hAnsi="Calibri" w:cs="Arial"/>
          <w:spacing w:val="-3"/>
          <w:sz w:val="22"/>
          <w:szCs w:val="22"/>
        </w:rPr>
      </w:pPr>
      <w:r w:rsidRPr="007A738F">
        <w:rPr>
          <w:rFonts w:ascii="Calibri" w:hAnsi="Calibri" w:cs="Arial"/>
          <w:b/>
          <w:spacing w:val="-3"/>
          <w:sz w:val="22"/>
          <w:szCs w:val="22"/>
        </w:rPr>
        <w:t>Tercero:</w:t>
      </w:r>
      <w:r w:rsidRPr="007A738F">
        <w:rPr>
          <w:rFonts w:ascii="Calibri" w:hAnsi="Calibri" w:cs="Arial"/>
          <w:spacing w:val="-3"/>
          <w:sz w:val="22"/>
          <w:szCs w:val="22"/>
        </w:rPr>
        <w:t xml:space="preserve"> Facultar a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7A738F">
            <w:rPr>
              <w:rFonts w:ascii="Calibri" w:hAnsi="Calibri" w:cs="Arial"/>
              <w:spacing w:val="-3"/>
              <w:sz w:val="22"/>
              <w:szCs w:val="22"/>
            </w:rPr>
            <w:t>la Junta</w:t>
          </w:r>
        </w:smartTag>
        <w:r w:rsidRPr="007A738F">
          <w:rPr>
            <w:rFonts w:ascii="Calibri" w:hAnsi="Calibri" w:cs="Arial"/>
            <w:spacing w:val="-3"/>
            <w:sz w:val="22"/>
            <w:szCs w:val="22"/>
          </w:rPr>
          <w:t xml:space="preserve"> Directiva</w:t>
        </w:r>
      </w:smartTag>
      <w:r w:rsidRPr="007A738F">
        <w:rPr>
          <w:rFonts w:ascii="Calibri" w:hAnsi="Calibri" w:cs="Arial"/>
          <w:spacing w:val="-3"/>
          <w:sz w:val="22"/>
          <w:szCs w:val="22"/>
        </w:rPr>
        <w:t xml:space="preserve"> para definir la fecha y condiciones de la oferta, de conformidad con lo establecido en la cláusula segunda anterior.</w:t>
      </w:r>
    </w:p>
    <w:p w14:paraId="2BF4143A" w14:textId="5BD16929" w:rsidR="000E11D9" w:rsidRPr="007A738F" w:rsidRDefault="000E11D9" w:rsidP="000E11D9">
      <w:pPr>
        <w:suppressAutoHyphens/>
        <w:jc w:val="both"/>
        <w:rPr>
          <w:rFonts w:ascii="Calibri" w:hAnsi="Calibri" w:cs="Arial"/>
          <w:spacing w:val="-3"/>
          <w:sz w:val="22"/>
          <w:szCs w:val="22"/>
        </w:rPr>
      </w:pPr>
    </w:p>
    <w:p w14:paraId="4DB8C2EC" w14:textId="77777777" w:rsidR="000E11D9" w:rsidRPr="007A738F" w:rsidRDefault="000E11D9" w:rsidP="000E11D9">
      <w:pPr>
        <w:suppressAutoHyphens/>
        <w:jc w:val="both"/>
        <w:rPr>
          <w:rFonts w:ascii="Calibri" w:hAnsi="Calibri" w:cs="Arial"/>
          <w:spacing w:val="-3"/>
          <w:sz w:val="22"/>
          <w:szCs w:val="22"/>
        </w:rPr>
      </w:pPr>
      <w:r w:rsidRPr="007A738F">
        <w:rPr>
          <w:rFonts w:ascii="Calibri" w:hAnsi="Calibri" w:cs="Arial"/>
          <w:b/>
          <w:spacing w:val="-3"/>
          <w:sz w:val="22"/>
          <w:szCs w:val="22"/>
        </w:rPr>
        <w:t>Cuarto:</w:t>
      </w:r>
      <w:r w:rsidRPr="007A738F">
        <w:rPr>
          <w:rFonts w:ascii="Calibri" w:hAnsi="Calibri" w:cs="Arial"/>
          <w:spacing w:val="-3"/>
          <w:sz w:val="22"/>
          <w:szCs w:val="22"/>
        </w:rPr>
        <w:t xml:space="preserve"> La administración reportará al mercado de valores la información relevante sobre el particular, a través de los mecanismos que al efecto tiene establecidos </w:t>
      </w:r>
      <w:smartTag w:uri="urn:schemas-microsoft-com:office:smarttags" w:element="PersonName">
        <w:smartTagPr>
          <w:attr w:name="ProductID" w:val="la Superintendencia Financiera"/>
        </w:smartTagPr>
        <w:smartTag w:uri="urn:schemas-microsoft-com:office:smarttags" w:element="PersonName">
          <w:smartTagPr>
            <w:attr w:name="ProductID" w:val="la Superintendencia"/>
          </w:smartTagPr>
          <w:r w:rsidRPr="007A738F">
            <w:rPr>
              <w:rFonts w:ascii="Calibri" w:hAnsi="Calibri" w:cs="Arial"/>
              <w:spacing w:val="-3"/>
              <w:sz w:val="22"/>
              <w:szCs w:val="22"/>
            </w:rPr>
            <w:t>la Superintendencia</w:t>
          </w:r>
        </w:smartTag>
        <w:r w:rsidRPr="007A738F">
          <w:rPr>
            <w:rFonts w:ascii="Calibri" w:hAnsi="Calibri" w:cs="Arial"/>
            <w:spacing w:val="-3"/>
            <w:sz w:val="22"/>
            <w:szCs w:val="22"/>
          </w:rPr>
          <w:t xml:space="preserve"> Financiera</w:t>
        </w:r>
      </w:smartTag>
      <w:r w:rsidRPr="007A738F">
        <w:rPr>
          <w:rFonts w:ascii="Calibri" w:hAnsi="Calibri" w:cs="Arial"/>
          <w:spacing w:val="-3"/>
          <w:sz w:val="22"/>
          <w:szCs w:val="22"/>
        </w:rPr>
        <w:t xml:space="preserve"> de Colombia.</w:t>
      </w:r>
    </w:p>
    <w:p w14:paraId="441AA702" w14:textId="77777777" w:rsidR="000E11D9" w:rsidRPr="007A738F" w:rsidRDefault="000E11D9" w:rsidP="000E11D9">
      <w:pPr>
        <w:suppressAutoHyphens/>
        <w:jc w:val="both"/>
        <w:rPr>
          <w:rFonts w:ascii="Calibri" w:hAnsi="Calibri" w:cs="Arial"/>
          <w:spacing w:val="-3"/>
          <w:sz w:val="22"/>
          <w:szCs w:val="22"/>
        </w:rPr>
      </w:pPr>
    </w:p>
    <w:p w14:paraId="4D85D84F" w14:textId="77777777" w:rsidR="000E11D9" w:rsidRPr="007A738F" w:rsidRDefault="000E11D9" w:rsidP="000E11D9">
      <w:pPr>
        <w:suppressAutoHyphens/>
        <w:jc w:val="both"/>
        <w:rPr>
          <w:rFonts w:ascii="Calibri" w:hAnsi="Calibri" w:cs="Arial"/>
          <w:spacing w:val="-3"/>
          <w:sz w:val="22"/>
          <w:szCs w:val="22"/>
        </w:rPr>
      </w:pPr>
      <w:r w:rsidRPr="007A738F">
        <w:rPr>
          <w:rFonts w:ascii="Calibri" w:hAnsi="Calibri" w:cs="Arial"/>
          <w:b/>
          <w:spacing w:val="-3"/>
          <w:sz w:val="22"/>
          <w:szCs w:val="22"/>
        </w:rPr>
        <w:t>Quinto:</w:t>
      </w:r>
      <w:r w:rsidRPr="007A738F">
        <w:rPr>
          <w:rFonts w:ascii="Calibri" w:hAnsi="Calibri" w:cs="Arial"/>
          <w:spacing w:val="-3"/>
          <w:sz w:val="22"/>
          <w:szCs w:val="22"/>
        </w:rPr>
        <w:t xml:space="preserve"> Se informa a los señores accionistas y al mercado en general, que el precio que se ofrezca por las acciones, será el que se determine en el estudio que se realice al efecto. Cada accionista deberá evaluar de manera independiente y autónoma, bajo su exclusiva responsabilidad, la conveniencia de vender o no acciones y hasta el tope máximo que se establezca en el reglamento, al precio ofrecido por </w:t>
      </w:r>
      <w:r w:rsidRPr="007A738F">
        <w:rPr>
          <w:rFonts w:ascii="Calibri" w:hAnsi="Calibri" w:cs="Arial"/>
          <w:b/>
          <w:spacing w:val="-3"/>
          <w:sz w:val="22"/>
          <w:szCs w:val="22"/>
        </w:rPr>
        <w:t>VALORES SIMESA S.A.</w:t>
      </w:r>
    </w:p>
    <w:p w14:paraId="22C82DB6" w14:textId="77777777" w:rsidR="000E11D9" w:rsidRPr="007A738F" w:rsidRDefault="000E11D9" w:rsidP="000E11D9">
      <w:pPr>
        <w:rPr>
          <w:rFonts w:ascii="Calibri" w:hAnsi="Calibri"/>
          <w:sz w:val="22"/>
          <w:szCs w:val="22"/>
        </w:rPr>
      </w:pPr>
    </w:p>
    <w:p w14:paraId="748E5EE1" w14:textId="77777777" w:rsidR="000E11D9" w:rsidRPr="007A738F" w:rsidRDefault="000E11D9" w:rsidP="000E11D9">
      <w:pPr>
        <w:rPr>
          <w:rFonts w:ascii="Calibri" w:hAnsi="Calibri"/>
          <w:sz w:val="22"/>
          <w:szCs w:val="22"/>
        </w:rPr>
      </w:pPr>
    </w:p>
    <w:p w14:paraId="14DACDAF" w14:textId="77777777" w:rsidR="000E11D9" w:rsidRDefault="000E11D9" w:rsidP="000E11D9"/>
    <w:p w14:paraId="29117470" w14:textId="77777777" w:rsidR="000E11D9" w:rsidRDefault="000E11D9" w:rsidP="000E11D9"/>
    <w:p w14:paraId="1DACB991" w14:textId="77777777" w:rsidR="009E6F3C" w:rsidRPr="007A738F" w:rsidRDefault="009E6F3C" w:rsidP="009E6F3C">
      <w:pPr>
        <w:suppressAutoHyphens/>
        <w:rPr>
          <w:rFonts w:ascii="Calibri" w:hAnsi="Calibri" w:cs="Arial"/>
          <w:spacing w:val="-3"/>
          <w:sz w:val="22"/>
          <w:szCs w:val="22"/>
        </w:rPr>
      </w:pPr>
    </w:p>
    <w:sectPr w:rsidR="009E6F3C" w:rsidRPr="007A738F" w:rsidSect="00D9363B">
      <w:pgSz w:w="12242" w:h="15842" w:code="1"/>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722DA"/>
    <w:multiLevelType w:val="hybridMultilevel"/>
    <w:tmpl w:val="C15EBDCC"/>
    <w:lvl w:ilvl="0" w:tplc="D78EEC3E">
      <w:start w:val="1"/>
      <w:numFmt w:val="decimal"/>
      <w:lvlText w:val="%1."/>
      <w:lvlJc w:val="left"/>
      <w:pPr>
        <w:ind w:left="720" w:hanging="360"/>
      </w:pPr>
      <w:rPr>
        <w:rFonts w:asciiTheme="minorHAnsi" w:hAnsiTheme="minorHAnsi" w:cstheme="minorHAnsi" w:hint="default"/>
        <w:sz w:val="22"/>
        <w:szCs w:val="22"/>
        <w:lang w:val="es-MX"/>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EAD2A15"/>
    <w:multiLevelType w:val="hybridMultilevel"/>
    <w:tmpl w:val="4B68235A"/>
    <w:lvl w:ilvl="0" w:tplc="A1A0FCF8">
      <w:start w:val="1"/>
      <w:numFmt w:val="lowerRoman"/>
      <w:lvlText w:val="(%1)"/>
      <w:lvlJc w:val="left"/>
      <w:pPr>
        <w:tabs>
          <w:tab w:val="num" w:pos="1425"/>
        </w:tabs>
        <w:ind w:left="1425" w:hanging="72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7FD146C8"/>
    <w:multiLevelType w:val="hybridMultilevel"/>
    <w:tmpl w:val="A86CA65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45885453">
    <w:abstractNumId w:val="2"/>
  </w:num>
  <w:num w:numId="2" w16cid:durableId="1057585408">
    <w:abstractNumId w:val="1"/>
  </w:num>
  <w:num w:numId="3" w16cid:durableId="129788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3C"/>
    <w:rsid w:val="000101EC"/>
    <w:rsid w:val="00017BF7"/>
    <w:rsid w:val="00033268"/>
    <w:rsid w:val="00040EED"/>
    <w:rsid w:val="00064FA2"/>
    <w:rsid w:val="00087B72"/>
    <w:rsid w:val="000E11D9"/>
    <w:rsid w:val="000F45F2"/>
    <w:rsid w:val="0010082F"/>
    <w:rsid w:val="001220B7"/>
    <w:rsid w:val="00164F81"/>
    <w:rsid w:val="00167306"/>
    <w:rsid w:val="00177240"/>
    <w:rsid w:val="00205D68"/>
    <w:rsid w:val="00221672"/>
    <w:rsid w:val="00233EEE"/>
    <w:rsid w:val="002D1843"/>
    <w:rsid w:val="002D42AB"/>
    <w:rsid w:val="003147E1"/>
    <w:rsid w:val="003276D2"/>
    <w:rsid w:val="003B7D88"/>
    <w:rsid w:val="003C5ABE"/>
    <w:rsid w:val="003F1E2C"/>
    <w:rsid w:val="003F5A08"/>
    <w:rsid w:val="004802C1"/>
    <w:rsid w:val="004A60B3"/>
    <w:rsid w:val="004B3DAC"/>
    <w:rsid w:val="004C3627"/>
    <w:rsid w:val="00525022"/>
    <w:rsid w:val="005358FE"/>
    <w:rsid w:val="00566253"/>
    <w:rsid w:val="00582B67"/>
    <w:rsid w:val="005A059B"/>
    <w:rsid w:val="005A6E47"/>
    <w:rsid w:val="005D2ABD"/>
    <w:rsid w:val="005E10BB"/>
    <w:rsid w:val="00611F0F"/>
    <w:rsid w:val="00612FC2"/>
    <w:rsid w:val="006248B6"/>
    <w:rsid w:val="00626BD0"/>
    <w:rsid w:val="006324A5"/>
    <w:rsid w:val="006504D9"/>
    <w:rsid w:val="006A25DD"/>
    <w:rsid w:val="006C7945"/>
    <w:rsid w:val="006E595B"/>
    <w:rsid w:val="00700F83"/>
    <w:rsid w:val="007363A6"/>
    <w:rsid w:val="00744EF6"/>
    <w:rsid w:val="00747804"/>
    <w:rsid w:val="00761A1D"/>
    <w:rsid w:val="0077202E"/>
    <w:rsid w:val="007B1D2D"/>
    <w:rsid w:val="007E660B"/>
    <w:rsid w:val="008019D5"/>
    <w:rsid w:val="00814BA2"/>
    <w:rsid w:val="00823811"/>
    <w:rsid w:val="008809F7"/>
    <w:rsid w:val="009006F8"/>
    <w:rsid w:val="00935514"/>
    <w:rsid w:val="00941C0A"/>
    <w:rsid w:val="00957E27"/>
    <w:rsid w:val="00962B16"/>
    <w:rsid w:val="00986A39"/>
    <w:rsid w:val="009B3B82"/>
    <w:rsid w:val="009B4D44"/>
    <w:rsid w:val="009E6F3C"/>
    <w:rsid w:val="00A033B6"/>
    <w:rsid w:val="00A45CDC"/>
    <w:rsid w:val="00A64BD0"/>
    <w:rsid w:val="00A749D7"/>
    <w:rsid w:val="00AA72E0"/>
    <w:rsid w:val="00AB4BD2"/>
    <w:rsid w:val="00AC408F"/>
    <w:rsid w:val="00AD2EBC"/>
    <w:rsid w:val="00B01302"/>
    <w:rsid w:val="00B32475"/>
    <w:rsid w:val="00B52015"/>
    <w:rsid w:val="00B635C7"/>
    <w:rsid w:val="00B743D8"/>
    <w:rsid w:val="00BA7DEF"/>
    <w:rsid w:val="00BC0F07"/>
    <w:rsid w:val="00C33676"/>
    <w:rsid w:val="00C846EA"/>
    <w:rsid w:val="00CA5E48"/>
    <w:rsid w:val="00D16F93"/>
    <w:rsid w:val="00D22A13"/>
    <w:rsid w:val="00D65DFE"/>
    <w:rsid w:val="00D9363B"/>
    <w:rsid w:val="00DC1BA3"/>
    <w:rsid w:val="00DE0E2C"/>
    <w:rsid w:val="00E25812"/>
    <w:rsid w:val="00E26E0A"/>
    <w:rsid w:val="00E4314E"/>
    <w:rsid w:val="00E64F2B"/>
    <w:rsid w:val="00E65D08"/>
    <w:rsid w:val="00E73CF7"/>
    <w:rsid w:val="00F037F0"/>
    <w:rsid w:val="00F316B3"/>
    <w:rsid w:val="00F44C6C"/>
    <w:rsid w:val="00FB561B"/>
    <w:rsid w:val="00FC1261"/>
    <w:rsid w:val="00FF51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3188C8"/>
  <w15:docId w15:val="{69D74F8A-EC0C-4241-8684-2D30597B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F3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040EED"/>
    <w:pPr>
      <w:spacing w:after="0" w:line="240" w:lineRule="auto"/>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unhideWhenUsed/>
    <w:rsid w:val="00040EED"/>
    <w:rPr>
      <w:rFonts w:ascii="Calibri" w:eastAsiaTheme="minorHAnsi" w:hAnsi="Calibri" w:cstheme="minorBidi"/>
      <w:sz w:val="22"/>
      <w:szCs w:val="21"/>
      <w:lang w:val="es-CO" w:eastAsia="en-US"/>
    </w:rPr>
  </w:style>
  <w:style w:type="character" w:customStyle="1" w:styleId="TextosinformatoCar">
    <w:name w:val="Texto sin formato Car"/>
    <w:basedOn w:val="Fuentedeprrafopredeter"/>
    <w:link w:val="Textosinformato"/>
    <w:uiPriority w:val="99"/>
    <w:rsid w:val="00040EED"/>
    <w:rPr>
      <w:rFonts w:ascii="Calibri" w:hAnsi="Calibri"/>
      <w:szCs w:val="21"/>
    </w:rPr>
  </w:style>
  <w:style w:type="paragraph" w:styleId="Textoindependiente2">
    <w:name w:val="Body Text 2"/>
    <w:basedOn w:val="Normal"/>
    <w:link w:val="Textoindependiente2Car"/>
    <w:uiPriority w:val="99"/>
    <w:rsid w:val="00566253"/>
    <w:pPr>
      <w:spacing w:after="120" w:line="480" w:lineRule="auto"/>
    </w:pPr>
    <w:rPr>
      <w:szCs w:val="20"/>
      <w:lang w:val="en-US" w:eastAsia="x-none"/>
    </w:rPr>
  </w:style>
  <w:style w:type="character" w:customStyle="1" w:styleId="Textoindependiente2Car">
    <w:name w:val="Texto independiente 2 Car"/>
    <w:basedOn w:val="Fuentedeprrafopredeter"/>
    <w:link w:val="Textoindependiente2"/>
    <w:uiPriority w:val="99"/>
    <w:rsid w:val="00566253"/>
    <w:rPr>
      <w:rFonts w:ascii="Times New Roman" w:eastAsia="Times New Roman" w:hAnsi="Times New Roman" w:cs="Times New Roman"/>
      <w:sz w:val="24"/>
      <w:szCs w:val="20"/>
      <w:lang w:val="en-US" w:eastAsia="x-none"/>
    </w:rPr>
  </w:style>
  <w:style w:type="paragraph" w:styleId="Prrafodelista">
    <w:name w:val="List Paragraph"/>
    <w:basedOn w:val="Normal"/>
    <w:uiPriority w:val="34"/>
    <w:qFormat/>
    <w:rsid w:val="00D16F93"/>
    <w:pPr>
      <w:ind w:left="720"/>
      <w:contextualSpacing/>
    </w:pPr>
  </w:style>
  <w:style w:type="character" w:styleId="Refdecomentario">
    <w:name w:val="annotation reference"/>
    <w:basedOn w:val="Fuentedeprrafopredeter"/>
    <w:uiPriority w:val="99"/>
    <w:semiHidden/>
    <w:unhideWhenUsed/>
    <w:rsid w:val="00AD2EBC"/>
    <w:rPr>
      <w:sz w:val="16"/>
      <w:szCs w:val="16"/>
    </w:rPr>
  </w:style>
  <w:style w:type="paragraph" w:styleId="Textocomentario">
    <w:name w:val="annotation text"/>
    <w:basedOn w:val="Normal"/>
    <w:link w:val="TextocomentarioCar"/>
    <w:uiPriority w:val="99"/>
    <w:unhideWhenUsed/>
    <w:rsid w:val="00AD2EBC"/>
    <w:rPr>
      <w:sz w:val="20"/>
      <w:szCs w:val="20"/>
    </w:rPr>
  </w:style>
  <w:style w:type="character" w:customStyle="1" w:styleId="TextocomentarioCar">
    <w:name w:val="Texto comentario Car"/>
    <w:basedOn w:val="Fuentedeprrafopredeter"/>
    <w:link w:val="Textocomentario"/>
    <w:uiPriority w:val="99"/>
    <w:rsid w:val="00AD2EB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D2EBC"/>
    <w:rPr>
      <w:b/>
      <w:bCs/>
    </w:rPr>
  </w:style>
  <w:style w:type="character" w:customStyle="1" w:styleId="AsuntodelcomentarioCar">
    <w:name w:val="Asunto del comentario Car"/>
    <w:basedOn w:val="TextocomentarioCar"/>
    <w:link w:val="Asuntodelcomentario"/>
    <w:uiPriority w:val="99"/>
    <w:semiHidden/>
    <w:rsid w:val="00AD2EBC"/>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2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637</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 Legal</dc:creator>
  <cp:lastModifiedBy>Valores Simesa</cp:lastModifiedBy>
  <cp:revision>4</cp:revision>
  <cp:lastPrinted>2024-02-08T14:39:00Z</cp:lastPrinted>
  <dcterms:created xsi:type="dcterms:W3CDTF">2026-05-20T21:10:00Z</dcterms:created>
  <dcterms:modified xsi:type="dcterms:W3CDTF">2026-05-25T20:32:00Z</dcterms:modified>
</cp:coreProperties>
</file>